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Администрацию Каменского городского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BC7854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 9 месяцев</w:t>
      </w:r>
      <w:r w:rsidR="00884FC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>20</w:t>
      </w:r>
      <w:r w:rsidR="000D70BD">
        <w:rPr>
          <w:rFonts w:ascii="Liberation Serif" w:hAnsi="Liberation Serif" w:cs="Times New Roman"/>
          <w:b/>
          <w:sz w:val="28"/>
          <w:szCs w:val="28"/>
        </w:rPr>
        <w:t>2</w:t>
      </w:r>
      <w:r w:rsidR="003A4E0F">
        <w:rPr>
          <w:rFonts w:ascii="Liberation Serif" w:hAnsi="Liberation Serif" w:cs="Times New Roman"/>
          <w:b/>
          <w:sz w:val="28"/>
          <w:szCs w:val="28"/>
        </w:rPr>
        <w:t>3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806650">
        <w:rPr>
          <w:rFonts w:ascii="Liberation Serif" w:hAnsi="Liberation Serif" w:cs="Times New Roman"/>
          <w:sz w:val="28"/>
          <w:szCs w:val="28"/>
        </w:rPr>
        <w:t xml:space="preserve">за </w:t>
      </w:r>
      <w:r w:rsidR="00BC7854">
        <w:rPr>
          <w:rFonts w:ascii="Liberation Serif" w:hAnsi="Liberation Serif" w:cs="Times New Roman"/>
          <w:sz w:val="28"/>
          <w:szCs w:val="28"/>
        </w:rPr>
        <w:t>9</w:t>
      </w:r>
      <w:r w:rsidR="00806650">
        <w:rPr>
          <w:rFonts w:ascii="Liberation Serif" w:hAnsi="Liberation Serif" w:cs="Times New Roman"/>
          <w:sz w:val="28"/>
          <w:szCs w:val="28"/>
        </w:rPr>
        <w:t xml:space="preserve"> месяцев</w:t>
      </w:r>
      <w:r w:rsidR="00884FCB">
        <w:rPr>
          <w:rFonts w:ascii="Liberation Serif" w:hAnsi="Liberation Serif" w:cs="Times New Roman"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>202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806650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городского округа поступило </w:t>
      </w:r>
      <w:r w:rsidR="00BC7854" w:rsidRPr="00BC7854">
        <w:rPr>
          <w:rFonts w:ascii="Liberation Serif" w:hAnsi="Liberation Serif" w:cs="Times New Roman"/>
          <w:b/>
          <w:sz w:val="28"/>
          <w:szCs w:val="28"/>
        </w:rPr>
        <w:t>2987</w:t>
      </w:r>
      <w:r w:rsidRPr="0080665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 xml:space="preserve">письменных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="00BC7854">
        <w:rPr>
          <w:rFonts w:ascii="Liberation Serif" w:hAnsi="Liberation Serif" w:cs="Times New Roman"/>
          <w:sz w:val="28"/>
          <w:szCs w:val="28"/>
        </w:rPr>
        <w:t xml:space="preserve"> и </w:t>
      </w:r>
      <w:r w:rsidR="00BC7854" w:rsidRPr="00BC7854">
        <w:rPr>
          <w:rFonts w:ascii="Liberation Serif" w:hAnsi="Liberation Serif" w:cs="Times New Roman"/>
          <w:b/>
          <w:sz w:val="28"/>
          <w:szCs w:val="28"/>
        </w:rPr>
        <w:t>26</w:t>
      </w:r>
      <w:r w:rsidR="00BC7854">
        <w:rPr>
          <w:rFonts w:ascii="Liberation Serif" w:hAnsi="Liberation Serif" w:cs="Times New Roman"/>
          <w:sz w:val="28"/>
          <w:szCs w:val="28"/>
        </w:rPr>
        <w:t xml:space="preserve"> устных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Письменных обращений зарегистрировано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C7854">
        <w:rPr>
          <w:rFonts w:ascii="Liberation Serif" w:hAnsi="Liberation Serif" w:cs="Times New Roman"/>
          <w:b/>
          <w:sz w:val="28"/>
          <w:szCs w:val="28"/>
        </w:rPr>
        <w:t>2</w:t>
      </w:r>
      <w:r w:rsidR="005E2053">
        <w:rPr>
          <w:rFonts w:ascii="Liberation Serif" w:hAnsi="Liberation Serif" w:cs="Times New Roman"/>
          <w:b/>
          <w:sz w:val="28"/>
          <w:szCs w:val="28"/>
        </w:rPr>
        <w:t>9</w:t>
      </w:r>
      <w:r w:rsidR="00BC7854">
        <w:rPr>
          <w:rFonts w:ascii="Liberation Serif" w:hAnsi="Liberation Serif" w:cs="Times New Roman"/>
          <w:b/>
          <w:sz w:val="28"/>
          <w:szCs w:val="28"/>
        </w:rPr>
        <w:t>87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в том числе по видам обращений: </w:t>
      </w:r>
      <w:r w:rsidR="00BC7854" w:rsidRPr="00BC7854">
        <w:rPr>
          <w:rFonts w:ascii="Liberation Serif" w:hAnsi="Liberation Serif" w:cs="Times New Roman"/>
          <w:b/>
          <w:sz w:val="28"/>
          <w:szCs w:val="28"/>
        </w:rPr>
        <w:t>2</w:t>
      </w:r>
      <w:r w:rsidR="005E2053" w:rsidRPr="00BC7854">
        <w:rPr>
          <w:rFonts w:ascii="Liberation Serif" w:hAnsi="Liberation Serif" w:cs="Times New Roman"/>
          <w:b/>
          <w:sz w:val="28"/>
          <w:szCs w:val="28"/>
        </w:rPr>
        <w:t>9</w:t>
      </w:r>
      <w:r w:rsidR="00BC7854">
        <w:rPr>
          <w:rFonts w:ascii="Liberation Serif" w:hAnsi="Liberation Serif" w:cs="Times New Roman"/>
          <w:b/>
          <w:sz w:val="28"/>
          <w:szCs w:val="28"/>
        </w:rPr>
        <w:t>64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заявлени</w:t>
      </w:r>
      <w:r w:rsidR="00E22FAB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,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C7854">
        <w:rPr>
          <w:rFonts w:ascii="Liberation Serif" w:hAnsi="Liberation Serif" w:cs="Times New Roman"/>
          <w:b/>
          <w:sz w:val="28"/>
          <w:szCs w:val="28"/>
        </w:rPr>
        <w:t>15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коллективных и</w:t>
      </w:r>
      <w:r w:rsidRPr="00203FE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C7854">
        <w:rPr>
          <w:rFonts w:ascii="Liberation Serif" w:hAnsi="Liberation Serif" w:cs="Times New Roman"/>
          <w:b/>
          <w:sz w:val="28"/>
          <w:szCs w:val="28"/>
        </w:rPr>
        <w:t>8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879A7" w:rsidRPr="005303A1">
        <w:rPr>
          <w:rFonts w:ascii="Liberation Serif" w:hAnsi="Liberation Serif" w:cs="Times New Roman"/>
          <w:sz w:val="28"/>
          <w:szCs w:val="28"/>
        </w:rPr>
        <w:t>повторных обращени</w:t>
      </w:r>
      <w:r w:rsidR="00464778" w:rsidRPr="005303A1">
        <w:rPr>
          <w:rFonts w:ascii="Liberation Serif" w:hAnsi="Liberation Serif" w:cs="Times New Roman"/>
          <w:sz w:val="28"/>
          <w:szCs w:val="28"/>
        </w:rPr>
        <w:t>й.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на официальном портале Каменского городского округа, любой гражданин, имеющий доступ к сети Интернет, заполнив несколько полей формы, может обратиться к Гла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ве городского округа, 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>в первом полугодии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0D7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A4E0F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 w:rsidRPr="00BC7854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BC7854" w:rsidRPr="00BC7854">
        <w:rPr>
          <w:rFonts w:ascii="Liberation Serif" w:eastAsia="Times New Roman" w:hAnsi="Liberation Serif" w:cs="Times New Roman"/>
          <w:b/>
          <w:sz w:val="28"/>
          <w:szCs w:val="28"/>
        </w:rPr>
        <w:t>60</w:t>
      </w:r>
      <w:r w:rsidRPr="003A4E0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895E36" w:rsidRPr="00895E36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895E3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Федеральным законом № 59-ФЗ установлена подведомственность дел по обращениям граждан, однако жители городского 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 </w:t>
      </w:r>
      <w:r w:rsidR="00895E36">
        <w:rPr>
          <w:rFonts w:ascii="Liberation Serif" w:hAnsi="Liberation Serif" w:cs="Times New Roman"/>
          <w:b/>
          <w:sz w:val="28"/>
          <w:szCs w:val="28"/>
        </w:rPr>
        <w:t>1</w:t>
      </w:r>
      <w:r w:rsidR="00BC7854">
        <w:rPr>
          <w:rFonts w:ascii="Liberation Serif" w:hAnsi="Liberation Serif" w:cs="Times New Roman"/>
          <w:b/>
          <w:sz w:val="28"/>
          <w:szCs w:val="28"/>
        </w:rPr>
        <w:t>30</w:t>
      </w:r>
      <w:r w:rsidRPr="00927DC9"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>, благоустройство и ремонт дорог, 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</w:t>
      </w:r>
      <w:r w:rsidR="006A5DD5">
        <w:rPr>
          <w:rFonts w:ascii="Liberation Serif" w:hAnsi="Liberation Serif" w:cs="Times New Roman"/>
          <w:sz w:val="28"/>
          <w:szCs w:val="28"/>
        </w:rPr>
        <w:t>за 9 месяцев</w:t>
      </w:r>
      <w:r w:rsidR="00E22FAB">
        <w:rPr>
          <w:rFonts w:ascii="Liberation Serif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hAnsi="Liberation Serif" w:cs="Times New Roman"/>
          <w:sz w:val="28"/>
          <w:szCs w:val="28"/>
        </w:rPr>
        <w:t>20</w:t>
      </w:r>
      <w:r w:rsidR="000D70BD">
        <w:rPr>
          <w:rFonts w:ascii="Liberation Serif" w:hAnsi="Liberation Serif" w:cs="Times New Roman"/>
          <w:sz w:val="28"/>
          <w:szCs w:val="28"/>
        </w:rPr>
        <w:t>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6A5DD5" w:rsidRPr="006A5DD5">
        <w:rPr>
          <w:rFonts w:ascii="Liberation Serif" w:hAnsi="Liberation Serif" w:cs="Times New Roman"/>
          <w:b/>
          <w:sz w:val="28"/>
          <w:szCs w:val="28"/>
        </w:rPr>
        <w:t>325</w:t>
      </w:r>
      <w:r w:rsidR="001B49C7" w:rsidRPr="006A5DD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6A5DD5">
        <w:rPr>
          <w:rFonts w:ascii="Liberation Serif" w:hAnsi="Liberation Serif" w:cs="Times New Roman"/>
          <w:sz w:val="28"/>
          <w:szCs w:val="28"/>
        </w:rPr>
        <w:t>й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письменных обращений граждан за </w:t>
      </w:r>
      <w:r w:rsidR="006A5DD5">
        <w:rPr>
          <w:rFonts w:ascii="Liberation Serif" w:hAnsi="Liberation Serif" w:cs="Times New Roman"/>
          <w:b/>
          <w:i/>
          <w:sz w:val="24"/>
          <w:szCs w:val="24"/>
        </w:rPr>
        <w:t>9</w:t>
      </w:r>
      <w:r w:rsidR="00895E36">
        <w:rPr>
          <w:rFonts w:ascii="Liberation Serif" w:hAnsi="Liberation Serif" w:cs="Times New Roman"/>
          <w:b/>
          <w:i/>
          <w:sz w:val="24"/>
          <w:szCs w:val="24"/>
        </w:rPr>
        <w:t xml:space="preserve"> месяцев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3A4E0F">
        <w:rPr>
          <w:rFonts w:ascii="Liberation Serif" w:hAnsi="Liberation Serif" w:cs="Times New Roman"/>
          <w:b/>
          <w:i/>
          <w:sz w:val="24"/>
          <w:szCs w:val="24"/>
        </w:rPr>
        <w:t>3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2"/>
        <w:gridCol w:w="1817"/>
        <w:gridCol w:w="1559"/>
      </w:tblGrid>
      <w:tr w:rsidR="006A5DD5" w:rsidRPr="005303A1" w:rsidTr="00D01948">
        <w:tc>
          <w:tcPr>
            <w:tcW w:w="590" w:type="dxa"/>
            <w:vMerge w:val="restart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303A1">
              <w:rPr>
                <w:rFonts w:ascii="Liberation Serif" w:hAnsi="Liberation Serif" w:cs="Times New Roman"/>
                <w:sz w:val="20"/>
                <w:szCs w:val="20"/>
              </w:rPr>
              <w:t>№ п/п</w:t>
            </w:r>
          </w:p>
        </w:tc>
        <w:tc>
          <w:tcPr>
            <w:tcW w:w="5472" w:type="dxa"/>
            <w:vMerge w:val="restart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тика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</w:tr>
      <w:tr w:rsidR="006A5DD5" w:rsidRPr="005303A1" w:rsidTr="00D01948">
        <w:tc>
          <w:tcPr>
            <w:tcW w:w="590" w:type="dxa"/>
            <w:vMerge/>
            <w:shd w:val="clear" w:color="auto" w:fill="auto"/>
          </w:tcPr>
          <w:p w:rsidR="006A5DD5" w:rsidRPr="005303A1" w:rsidRDefault="006A5DD5" w:rsidP="006A5D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shd w:val="clear" w:color="auto" w:fill="auto"/>
          </w:tcPr>
          <w:p w:rsidR="006A5DD5" w:rsidRPr="005303A1" w:rsidRDefault="006A5DD5" w:rsidP="006A5D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6A5DD5" w:rsidRPr="005303A1" w:rsidRDefault="006A5DD5" w:rsidP="006A5D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DD5" w:rsidRPr="005303A1" w:rsidRDefault="006A5DD5" w:rsidP="006A5D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2253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2037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483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561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82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1817" w:type="dxa"/>
            <w:shd w:val="clear" w:color="auto" w:fill="auto"/>
          </w:tcPr>
          <w:p w:rsidR="00AB1E46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AB1E46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7" w:type="dxa"/>
            <w:shd w:val="clear" w:color="auto" w:fill="auto"/>
          </w:tcPr>
          <w:p w:rsidR="00AB1E46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AB1E46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Транспорт, связь, дорожное хозяйство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66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33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муниципальной собственностью</w:t>
            </w:r>
            <w:bookmarkStart w:id="0" w:name="_GoBack"/>
            <w:bookmarkEnd w:id="0"/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Культура, спорта, молодежь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Торговля и массовое питание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D01948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Семья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D01948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D01948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Сообщения о фактах коррупции</w:t>
            </w:r>
          </w:p>
        </w:tc>
        <w:tc>
          <w:tcPr>
            <w:tcW w:w="1817" w:type="dxa"/>
            <w:shd w:val="clear" w:color="auto" w:fill="auto"/>
          </w:tcPr>
          <w:p w:rsidR="00AB1E46" w:rsidRPr="005303A1" w:rsidRDefault="00D01948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AB1E46" w:rsidRPr="005303A1" w:rsidTr="00D01948">
        <w:tc>
          <w:tcPr>
            <w:tcW w:w="590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B1E46" w:rsidRPr="005303A1" w:rsidRDefault="00D01948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01948">
              <w:rPr>
                <w:rFonts w:ascii="Liberation Serif" w:hAnsi="Liberation Serif" w:cs="Times New Roman"/>
                <w:b/>
                <w:sz w:val="24"/>
                <w:szCs w:val="24"/>
              </w:rPr>
              <w:t>3197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1E46" w:rsidRPr="005303A1" w:rsidRDefault="00AB1E46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2987</w:t>
            </w:r>
          </w:p>
        </w:tc>
      </w:tr>
    </w:tbl>
    <w:p w:rsidR="00984042" w:rsidRPr="005303A1" w:rsidRDefault="00984042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В соответствии с установленным порядком работы с устными обращениями граждан отработана система по приему населения Главой МО и заместителями Главы Администрации городского округа.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по району, встречи с населением, проведение сходов в населенных пунктах,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с обращениями граждан целесообразно сконцентрировать внимание 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рассматривать характер обращений как один из важнейших и объективных каналов мониторинга политического, социального 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DC" w:rsidRDefault="00AC26DC" w:rsidP="0081121E">
      <w:pPr>
        <w:spacing w:after="0" w:line="240" w:lineRule="auto"/>
      </w:pPr>
      <w:r>
        <w:separator/>
      </w:r>
    </w:p>
  </w:endnote>
  <w:endnote w:type="continuationSeparator" w:id="0">
    <w:p w:rsidR="00AC26DC" w:rsidRDefault="00AC26DC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AC26DC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948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AC26DC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DC" w:rsidRDefault="00AC26DC" w:rsidP="0081121E">
      <w:pPr>
        <w:spacing w:after="0" w:line="240" w:lineRule="auto"/>
      </w:pPr>
      <w:r>
        <w:separator/>
      </w:r>
    </w:p>
  </w:footnote>
  <w:footnote w:type="continuationSeparator" w:id="0">
    <w:p w:rsidR="00AC26DC" w:rsidRDefault="00AC26DC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151C74"/>
    <w:rsid w:val="00164E59"/>
    <w:rsid w:val="001B49C7"/>
    <w:rsid w:val="001C09DB"/>
    <w:rsid w:val="00203FE0"/>
    <w:rsid w:val="0026040C"/>
    <w:rsid w:val="00264AC4"/>
    <w:rsid w:val="002652E2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303A1"/>
    <w:rsid w:val="00550DF7"/>
    <w:rsid w:val="005A2F94"/>
    <w:rsid w:val="005E2053"/>
    <w:rsid w:val="00600C3F"/>
    <w:rsid w:val="00621051"/>
    <w:rsid w:val="006A5DD5"/>
    <w:rsid w:val="006C24F7"/>
    <w:rsid w:val="006F10DB"/>
    <w:rsid w:val="0070282E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AB1E46"/>
    <w:rsid w:val="00AC26DC"/>
    <w:rsid w:val="00B20D6C"/>
    <w:rsid w:val="00B3031D"/>
    <w:rsid w:val="00B74094"/>
    <w:rsid w:val="00BC7854"/>
    <w:rsid w:val="00BD33A1"/>
    <w:rsid w:val="00C35213"/>
    <w:rsid w:val="00C96F20"/>
    <w:rsid w:val="00D01948"/>
    <w:rsid w:val="00DB5A59"/>
    <w:rsid w:val="00DC63CA"/>
    <w:rsid w:val="00DC6EC8"/>
    <w:rsid w:val="00E02446"/>
    <w:rsid w:val="00E22FAB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E897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C08C-92A6-41D2-B7DB-2E9D4B8F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29</cp:revision>
  <cp:lastPrinted>2023-10-03T09:23:00Z</cp:lastPrinted>
  <dcterms:created xsi:type="dcterms:W3CDTF">2014-10-28T07:03:00Z</dcterms:created>
  <dcterms:modified xsi:type="dcterms:W3CDTF">2023-10-03T09:23:00Z</dcterms:modified>
</cp:coreProperties>
</file>